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1B2BD" w14:textId="77777777" w:rsidR="00F70C33" w:rsidRDefault="00F70C33" w:rsidP="00F70C33">
      <w:pPr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Executive Summary</w:t>
      </w:r>
    </w:p>
    <w:p w14:paraId="39C2B5B5" w14:textId="54B4D6D0" w:rsidR="0090696E" w:rsidRPr="00F80A6E" w:rsidRDefault="00BC24C2" w:rsidP="00F70C33">
      <w:pPr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hAnsi="Times New Roman" w:cs="Times New Roman" w:hint="eastAsia"/>
          <w:b/>
          <w:bCs/>
          <w:kern w:val="0"/>
          <w14:ligatures w14:val="none"/>
        </w:rPr>
        <w:t>Planning for Modularization</w:t>
      </w:r>
    </w:p>
    <w:p w14:paraId="7C434F64" w14:textId="77777777" w:rsidR="00BC24C2" w:rsidRDefault="00BC24C2" w:rsidP="00BC24C2">
      <w:pPr>
        <w:pStyle w:val="NormalWeb"/>
      </w:pPr>
      <w:r>
        <w:t>The comprehensive understanding of "Planning for Modularization" is drawn from multiple research efforts focusing on modular construction's feasibility, benefits, challenges, and implementation strategies. Key insights include:</w:t>
      </w:r>
    </w:p>
    <w:p w14:paraId="3D49AEA2" w14:textId="3135350D" w:rsidR="00BC24C2" w:rsidRDefault="00BC24C2" w:rsidP="00BC24C2">
      <w:pPr>
        <w:pStyle w:val="NormalWeb"/>
      </w:pPr>
      <w:r>
        <w:t>The development of decision support tools like MODEX (</w:t>
      </w:r>
      <w:hyperlink r:id="rId7" w:history="1">
        <w:r w:rsidRPr="00A828A2">
          <w:rPr>
            <w:rStyle w:val="Hyperlink"/>
          </w:rPr>
          <w:t>RS29-1</w:t>
        </w:r>
      </w:hyperlink>
      <w:r>
        <w:t xml:space="preserve">, </w:t>
      </w:r>
      <w:hyperlink r:id="rId8" w:history="1">
        <w:r w:rsidRPr="00A828A2">
          <w:rPr>
            <w:rStyle w:val="Hyperlink"/>
          </w:rPr>
          <w:t>SD-72</w:t>
        </w:r>
      </w:hyperlink>
      <w:r>
        <w:t>) highlights the necessity for systematic approaches to evaluate modularization's feasibility during early planning phases. These tools enable stakeholders to assess potential cost savings and operational efficiencies, promoting informed decision-making and broader adoption of modular construction methods.</w:t>
      </w:r>
    </w:p>
    <w:p w14:paraId="4EBD47B4" w14:textId="304699E8" w:rsidR="00BC24C2" w:rsidRDefault="00BC24C2" w:rsidP="00BC24C2">
      <w:pPr>
        <w:pStyle w:val="NormalWeb"/>
      </w:pPr>
      <w:r>
        <w:t>Research (</w:t>
      </w:r>
      <w:hyperlink r:id="rId9" w:history="1">
        <w:r w:rsidRPr="00A828A2">
          <w:rPr>
            <w:rStyle w:val="Hyperlink"/>
          </w:rPr>
          <w:t>RS283-1</w:t>
        </w:r>
      </w:hyperlink>
      <w:r>
        <w:t xml:space="preserve">, </w:t>
      </w:r>
      <w:hyperlink r:id="rId10" w:history="1">
        <w:r w:rsidRPr="00A828A2">
          <w:rPr>
            <w:rStyle w:val="Hyperlink"/>
          </w:rPr>
          <w:t>RR283-11</w:t>
        </w:r>
      </w:hyperlink>
      <w:r>
        <w:t xml:space="preserve">) identifies significant benefits of modularization over traditional stick-built approaches, such as cost reductions, enhanced safety, improved quality, and reduced environmental impact. However, </w:t>
      </w:r>
      <w:proofErr w:type="gramStart"/>
      <w:r>
        <w:t>the industry</w:t>
      </w:r>
      <w:proofErr w:type="gramEnd"/>
      <w:r>
        <w:t xml:space="preserve"> faces barriers like design challenges, logistical constraints, and cultural resistance. To overcome these, strategies like developing a business case process, integrating design standardization, and enabling industry-wide maximization are essential.</w:t>
      </w:r>
    </w:p>
    <w:p w14:paraId="4E74AFD6" w14:textId="5A33FEA1" w:rsidR="00BC24C2" w:rsidRDefault="00BC24C2" w:rsidP="00BC24C2">
      <w:pPr>
        <w:pStyle w:val="NormalWeb"/>
      </w:pPr>
      <w:r>
        <w:t>The systematic frameworks developed for prefabrication, preassembly, modularization, and off-site fabrication (PPMOF) (</w:t>
      </w:r>
      <w:hyperlink r:id="rId11" w:history="1">
        <w:r w:rsidRPr="00454B9C">
          <w:rPr>
            <w:rStyle w:val="Hyperlink"/>
          </w:rPr>
          <w:t>RS171-1</w:t>
        </w:r>
      </w:hyperlink>
      <w:r>
        <w:t xml:space="preserve">, </w:t>
      </w:r>
      <w:hyperlink r:id="rId12" w:history="1">
        <w:r w:rsidRPr="00454B9C">
          <w:rPr>
            <w:rStyle w:val="Hyperlink"/>
          </w:rPr>
          <w:t>RR171-12</w:t>
        </w:r>
      </w:hyperlink>
      <w:r>
        <w:t xml:space="preserve">, </w:t>
      </w:r>
      <w:hyperlink r:id="rId13" w:history="1">
        <w:r w:rsidRPr="00454B9C">
          <w:rPr>
            <w:rStyle w:val="Hyperlink"/>
          </w:rPr>
          <w:t>EM171-21</w:t>
        </w:r>
      </w:hyperlink>
      <w:r>
        <w:t>) stress early planning, strategic analysis, and alignment across project teams. These efforts result in improved project performance through reduced project durations, labor savings, and enhanced safety.</w:t>
      </w:r>
    </w:p>
    <w:p w14:paraId="6D8A90B6" w14:textId="24CD3C76" w:rsidR="00BC24C2" w:rsidRDefault="00BC24C2" w:rsidP="00BC24C2">
      <w:pPr>
        <w:pStyle w:val="NormalWeb"/>
      </w:pPr>
      <w:r>
        <w:t>Case studies on modular chemical process intensification (</w:t>
      </w:r>
      <w:hyperlink r:id="rId14" w:history="1">
        <w:r w:rsidRPr="00C629E9">
          <w:rPr>
            <w:rStyle w:val="Hyperlink"/>
          </w:rPr>
          <w:t>FR</w:t>
        </w:r>
        <w:r w:rsidRPr="00C629E9">
          <w:rPr>
            <w:rStyle w:val="Hyperlink"/>
          </w:rPr>
          <w:t>-</w:t>
        </w:r>
        <w:r w:rsidRPr="00C629E9">
          <w:rPr>
            <w:rStyle w:val="Hyperlink"/>
          </w:rPr>
          <w:t>373</w:t>
        </w:r>
      </w:hyperlink>
      <w:r>
        <w:t>) demonstrate potential economic advantages, such as up to 87% lower capital expenditures and faster payback periods, despite the higher upfront costs and technical challenges of innovative modular solutions.</w:t>
      </w:r>
    </w:p>
    <w:p w14:paraId="77DE8C80" w14:textId="288283A5" w:rsidR="00BC24C2" w:rsidRDefault="00BC24C2" w:rsidP="00BC24C2">
      <w:pPr>
        <w:pStyle w:val="NormalWeb"/>
      </w:pPr>
      <w:r>
        <w:t>The need for modularization-friendly tools is emphasized in research (</w:t>
      </w:r>
      <w:hyperlink r:id="rId15" w:history="1">
        <w:r w:rsidR="00C629E9" w:rsidRPr="00C629E9">
          <w:rPr>
            <w:rStyle w:val="Hyperlink"/>
            <w:rFonts w:eastAsiaTheme="minorEastAsia" w:hint="eastAsia"/>
          </w:rPr>
          <w:t>FR</w:t>
        </w:r>
        <w:r w:rsidRPr="00C629E9">
          <w:rPr>
            <w:rStyle w:val="Hyperlink"/>
          </w:rPr>
          <w:t>-396</w:t>
        </w:r>
      </w:hyperlink>
      <w:r>
        <w:t>), which introduces business case analysis tools to identify modularization timing, barriers, and drivers. These tools provide actionable insights for integrating modular strategies aligned with project objectives and ESG principles.</w:t>
      </w:r>
    </w:p>
    <w:p w14:paraId="2FC10A67" w14:textId="77777777" w:rsidR="00BC24C2" w:rsidRDefault="00BC24C2" w:rsidP="00BC24C2">
      <w:pPr>
        <w:pStyle w:val="NormalWeb"/>
      </w:pPr>
      <w:r>
        <w:t xml:space="preserve">The overarching theme across the studies is the transformative potential of modularization when supported by systematic frameworks, early decision-making processes, and alignment among stakeholders. The findings encourage industry leaders to adopt modular approaches more broadly, leveraging </w:t>
      </w:r>
      <w:proofErr w:type="gramStart"/>
      <w:r>
        <w:t>its</w:t>
      </w:r>
      <w:proofErr w:type="gramEnd"/>
      <w:r>
        <w:t xml:space="preserve"> economic, environmental, and social benefits to address ongoing challenges in construction.</w:t>
      </w:r>
    </w:p>
    <w:p w14:paraId="119858B7" w14:textId="09A010E3" w:rsidR="00D556E1" w:rsidRPr="002B50C7" w:rsidRDefault="00D556E1" w:rsidP="003C41CC">
      <w:pPr>
        <w:pStyle w:val="NormalWeb"/>
        <w:rPr>
          <w:rFonts w:eastAsiaTheme="minorEastAsia"/>
        </w:rPr>
      </w:pPr>
    </w:p>
    <w:sectPr w:rsidR="00D556E1" w:rsidRPr="002B5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6095F" w14:textId="77777777" w:rsidR="006E1419" w:rsidRDefault="006E1419" w:rsidP="009F6396">
      <w:pPr>
        <w:spacing w:after="0" w:line="240" w:lineRule="auto"/>
      </w:pPr>
      <w:r>
        <w:separator/>
      </w:r>
    </w:p>
  </w:endnote>
  <w:endnote w:type="continuationSeparator" w:id="0">
    <w:p w14:paraId="75E79F94" w14:textId="77777777" w:rsidR="006E1419" w:rsidRDefault="006E1419" w:rsidP="009F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38891" w14:textId="77777777" w:rsidR="006E1419" w:rsidRDefault="006E1419" w:rsidP="009F6396">
      <w:pPr>
        <w:spacing w:after="0" w:line="240" w:lineRule="auto"/>
      </w:pPr>
      <w:r>
        <w:separator/>
      </w:r>
    </w:p>
  </w:footnote>
  <w:footnote w:type="continuationSeparator" w:id="0">
    <w:p w14:paraId="304AA625" w14:textId="77777777" w:rsidR="006E1419" w:rsidRDefault="006E1419" w:rsidP="009F6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309F8"/>
    <w:multiLevelType w:val="multilevel"/>
    <w:tmpl w:val="1ACEC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FA7DA6"/>
    <w:multiLevelType w:val="multilevel"/>
    <w:tmpl w:val="5EBE0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994939"/>
    <w:multiLevelType w:val="multilevel"/>
    <w:tmpl w:val="9398A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14278A"/>
    <w:multiLevelType w:val="multilevel"/>
    <w:tmpl w:val="2C005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BE64A1"/>
    <w:multiLevelType w:val="multilevel"/>
    <w:tmpl w:val="7ADCD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2660082">
    <w:abstractNumId w:val="0"/>
  </w:num>
  <w:num w:numId="2" w16cid:durableId="982661827">
    <w:abstractNumId w:val="1"/>
  </w:num>
  <w:num w:numId="3" w16cid:durableId="607276884">
    <w:abstractNumId w:val="4"/>
  </w:num>
  <w:num w:numId="4" w16cid:durableId="642270163">
    <w:abstractNumId w:val="3"/>
  </w:num>
  <w:num w:numId="5" w16cid:durableId="147594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U2tDAwszAxMzA2szRS0lEKTi0uzszPAykwNK0FAG+uxVEtAAAA"/>
  </w:docVars>
  <w:rsids>
    <w:rsidRoot w:val="00B30BC0"/>
    <w:rsid w:val="000374DD"/>
    <w:rsid w:val="000A3FD2"/>
    <w:rsid w:val="000D3987"/>
    <w:rsid w:val="000F06EE"/>
    <w:rsid w:val="00110278"/>
    <w:rsid w:val="001214BC"/>
    <w:rsid w:val="001356E0"/>
    <w:rsid w:val="00174592"/>
    <w:rsid w:val="001A118C"/>
    <w:rsid w:val="001D39CC"/>
    <w:rsid w:val="0023691A"/>
    <w:rsid w:val="00251733"/>
    <w:rsid w:val="0027452F"/>
    <w:rsid w:val="002B50C7"/>
    <w:rsid w:val="003A0542"/>
    <w:rsid w:val="003A0A11"/>
    <w:rsid w:val="003C41CC"/>
    <w:rsid w:val="00454B9C"/>
    <w:rsid w:val="00484455"/>
    <w:rsid w:val="004D7476"/>
    <w:rsid w:val="004F7312"/>
    <w:rsid w:val="005366E5"/>
    <w:rsid w:val="00553CF5"/>
    <w:rsid w:val="00576A3F"/>
    <w:rsid w:val="0067243C"/>
    <w:rsid w:val="006814FC"/>
    <w:rsid w:val="006E1419"/>
    <w:rsid w:val="006F4836"/>
    <w:rsid w:val="00724F7D"/>
    <w:rsid w:val="00732E50"/>
    <w:rsid w:val="007769CE"/>
    <w:rsid w:val="007E13D2"/>
    <w:rsid w:val="007E2CBA"/>
    <w:rsid w:val="00814252"/>
    <w:rsid w:val="0088691D"/>
    <w:rsid w:val="008921B2"/>
    <w:rsid w:val="008E12CF"/>
    <w:rsid w:val="008F34F5"/>
    <w:rsid w:val="008F419F"/>
    <w:rsid w:val="0090696E"/>
    <w:rsid w:val="00932096"/>
    <w:rsid w:val="00947E5F"/>
    <w:rsid w:val="00996972"/>
    <w:rsid w:val="009A4F6B"/>
    <w:rsid w:val="009E1233"/>
    <w:rsid w:val="009E3CC9"/>
    <w:rsid w:val="009F6396"/>
    <w:rsid w:val="00A37ED8"/>
    <w:rsid w:val="00A445C7"/>
    <w:rsid w:val="00A6138A"/>
    <w:rsid w:val="00A828A2"/>
    <w:rsid w:val="00AC41AB"/>
    <w:rsid w:val="00AE50C0"/>
    <w:rsid w:val="00B01B3D"/>
    <w:rsid w:val="00B30BC0"/>
    <w:rsid w:val="00B32BE7"/>
    <w:rsid w:val="00B45B24"/>
    <w:rsid w:val="00B6013E"/>
    <w:rsid w:val="00B8592A"/>
    <w:rsid w:val="00BC24C2"/>
    <w:rsid w:val="00C223F9"/>
    <w:rsid w:val="00C629E9"/>
    <w:rsid w:val="00C62A84"/>
    <w:rsid w:val="00C87D93"/>
    <w:rsid w:val="00CE14D1"/>
    <w:rsid w:val="00D05012"/>
    <w:rsid w:val="00D370E9"/>
    <w:rsid w:val="00D556E1"/>
    <w:rsid w:val="00DB7A9E"/>
    <w:rsid w:val="00E26FF2"/>
    <w:rsid w:val="00EF6929"/>
    <w:rsid w:val="00F12E92"/>
    <w:rsid w:val="00F430D0"/>
    <w:rsid w:val="00F70C33"/>
    <w:rsid w:val="00F80A6E"/>
    <w:rsid w:val="00F953D0"/>
    <w:rsid w:val="00FD0109"/>
    <w:rsid w:val="00FD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21DBA5"/>
  <w15:chartTrackingRefBased/>
  <w15:docId w15:val="{BBDBB64B-68AF-4963-83D5-BAD43B04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0B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B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B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B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B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B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B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B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B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B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B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B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B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B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B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B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B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B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0B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0B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B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0B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0B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B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0B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0B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B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B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0BC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274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F80A6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F63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6396"/>
  </w:style>
  <w:style w:type="paragraph" w:styleId="Footer">
    <w:name w:val="footer"/>
    <w:basedOn w:val="Normal"/>
    <w:link w:val="FooterChar"/>
    <w:uiPriority w:val="99"/>
    <w:unhideWhenUsed/>
    <w:rsid w:val="009F63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6396"/>
  </w:style>
  <w:style w:type="character" w:styleId="Hyperlink">
    <w:name w:val="Hyperlink"/>
    <w:basedOn w:val="DefaultParagraphFont"/>
    <w:uiPriority w:val="99"/>
    <w:unhideWhenUsed/>
    <w:rsid w:val="00A828A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28A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629E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9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08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7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06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1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2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0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4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0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9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430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2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3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26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204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3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truction-institute.org/computerized-decision-support-for-modularization-of-industrial-construction" TargetMode="External"/><Relationship Id="rId13" Type="http://schemas.openxmlformats.org/officeDocument/2006/relationships/hyperlink" Target="https://www.construction-institute.org/prefabrication-preassembly-modularization-and-off-site-fabrication-ppmof-instructor-s-guide" TargetMode="Externa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s://www.construction-institute.org/modex-automated-decision-support-system-for-modular-construction" TargetMode="External"/><Relationship Id="rId12" Type="http://schemas.openxmlformats.org/officeDocument/2006/relationships/hyperlink" Target="https://www.construction-institute.org/development-of-a-decision-support-tool-for-ppmo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onstruction-institute.org/ppmof-in-industrial-construction-a-framework-for-decision-makin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onstruction-institute.org/business-case-analysis-for-industrial-modularization" TargetMode="External"/><Relationship Id="rId10" Type="http://schemas.openxmlformats.org/officeDocument/2006/relationships/hyperlink" Target="https://www.construction-institute.org/industrial-modularization-how-to-optimize-how-to-maximize" TargetMode="Externa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https://www.construction-institute.org/industrial-modularization-how-to-optimize-how-to-maximize-e3e8d8f9b5f19c2790438959b1e075b3" TargetMode="External"/><Relationship Id="rId14" Type="http://schemas.openxmlformats.org/officeDocument/2006/relationships/hyperlink" Target="https://www.construction-institute.org/how-modular-chemical-process-intensification-compares-with-conventional-approach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56B6FB67BA7344822A4C8A67F56F7F" ma:contentTypeVersion="13" ma:contentTypeDescription="Create a new document." ma:contentTypeScope="" ma:versionID="88b9c1e199b91d6431445329d398203f">
  <xsd:schema xmlns:xsd="http://www.w3.org/2001/XMLSchema" xmlns:xs="http://www.w3.org/2001/XMLSchema" xmlns:p="http://schemas.microsoft.com/office/2006/metadata/properties" xmlns:ns2="feae4e9e-0b41-4e39-b078-838474f81db9" xmlns:ns3="aa3bb2e8-3ca0-4ad5-ad9d-36a0b68e33e2" targetNamespace="http://schemas.microsoft.com/office/2006/metadata/properties" ma:root="true" ma:fieldsID="6c4dfbf126a3c708a9b7b830c47d38e6" ns2:_="" ns3:_="">
    <xsd:import namespace="feae4e9e-0b41-4e39-b078-838474f81db9"/>
    <xsd:import namespace="aa3bb2e8-3ca0-4ad5-ad9d-36a0b68e33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ae4e9e-0b41-4e39-b078-838474f81d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5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8c7800f-3133-4166-986f-ae8bcd4998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bb2e8-3ca0-4ad5-ad9d-36a0b68e33e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cce083d-30dc-47a2-a58d-cf728b611964}" ma:internalName="TaxCatchAll" ma:showField="CatchAllData" ma:web="aa3bb2e8-3ca0-4ad5-ad9d-36a0b68e33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eae4e9e-0b41-4e39-b078-838474f81db9">
      <Terms xmlns="http://schemas.microsoft.com/office/infopath/2007/PartnerControls"/>
    </lcf76f155ced4ddcb4097134ff3c332f>
    <TaxCatchAll xmlns="aa3bb2e8-3ca0-4ad5-ad9d-36a0b68e33e2" xsi:nil="true"/>
  </documentManagement>
</p:properties>
</file>

<file path=customXml/itemProps1.xml><?xml version="1.0" encoding="utf-8"?>
<ds:datastoreItem xmlns:ds="http://schemas.openxmlformats.org/officeDocument/2006/customXml" ds:itemID="{018F5A53-1BCE-4EC3-81DE-806A03A03598}"/>
</file>

<file path=customXml/itemProps2.xml><?xml version="1.0" encoding="utf-8"?>
<ds:datastoreItem xmlns:ds="http://schemas.openxmlformats.org/officeDocument/2006/customXml" ds:itemID="{1C878317-0C40-4C8F-9D76-44E79E3EE826}"/>
</file>

<file path=customXml/itemProps3.xml><?xml version="1.0" encoding="utf-8"?>
<ds:datastoreItem xmlns:ds="http://schemas.openxmlformats.org/officeDocument/2006/customXml" ds:itemID="{096FB5A8-209D-4AF8-BAD0-567F7B1DF0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297</Words>
  <Characters>2160</Characters>
  <Application>Microsoft Office Word</Application>
  <DocSecurity>0</DocSecurity>
  <Lines>32</Lines>
  <Paragraphs>9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Gongfan Chen</dc:creator>
  <cp:keywords/>
  <dc:description/>
  <cp:lastModifiedBy>Gongfan Chen</cp:lastModifiedBy>
  <cp:revision>37</cp:revision>
  <dcterms:created xsi:type="dcterms:W3CDTF">2024-11-05T22:07:00Z</dcterms:created>
  <dcterms:modified xsi:type="dcterms:W3CDTF">2025-02-22T19:14:00Z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465085735377398f20fe0da85f2660c585e885ce080a02911f352c13c90932cb</vt:lpwstr>
  </property>
  <property fmtid="{D5CDD505-2E9C-101B-9397-08002B2CF9AE}" pid="3" name="ContentTypeId">
    <vt:lpwstr>0x0101001F56B6FB67BA7344822A4C8A67F56F7F</vt:lpwstr>
  </property>
</Properties>
</file>